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C6329" w14:textId="77777777" w:rsidR="006019A6" w:rsidRPr="00B4752D" w:rsidRDefault="006019A6" w:rsidP="009F1D03">
      <w:pPr>
        <w:spacing w:line="240" w:lineRule="auto"/>
        <w:jc w:val="left"/>
        <w:rPr>
          <w:rFonts w:cs="Times New Roman"/>
          <w:b/>
          <w:szCs w:val="24"/>
        </w:rPr>
      </w:pPr>
    </w:p>
    <w:p w14:paraId="5439F675" w14:textId="4EB0D8EB" w:rsidR="00B4752D" w:rsidRDefault="00B4752D" w:rsidP="009F1D03">
      <w:pPr>
        <w:spacing w:line="240" w:lineRule="auto"/>
        <w:jc w:val="left"/>
        <w:rPr>
          <w:rFonts w:cs="Times New Roman"/>
          <w:szCs w:val="24"/>
        </w:rPr>
      </w:pPr>
      <w:r w:rsidRPr="00C12BAB">
        <w:rPr>
          <w:noProof/>
        </w:rPr>
        <w:drawing>
          <wp:inline distT="0" distB="0" distL="0" distR="0" wp14:anchorId="717E9738" wp14:editId="207C361B">
            <wp:extent cx="2200275" cy="923925"/>
            <wp:effectExtent l="19050" t="0" r="9525" b="0"/>
            <wp:docPr id="1" name="Picture 1" descr="WHO-EURO-EN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-EURO-EN-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0453E" w14:textId="77777777" w:rsidR="00B4752D" w:rsidRPr="000446E6" w:rsidRDefault="00B4752D" w:rsidP="009F1D03">
      <w:pPr>
        <w:spacing w:line="240" w:lineRule="auto"/>
        <w:jc w:val="left"/>
        <w:rPr>
          <w:rFonts w:asciiTheme="minorBidi" w:hAnsiTheme="minorBidi"/>
          <w:sz w:val="22"/>
        </w:rPr>
      </w:pPr>
    </w:p>
    <w:p w14:paraId="52CBE7C1" w14:textId="057373D0" w:rsidR="006019A6" w:rsidRPr="00AE4732" w:rsidRDefault="00AE4732" w:rsidP="00AE4732">
      <w:pPr>
        <w:spacing w:line="240" w:lineRule="auto"/>
        <w:jc w:val="center"/>
        <w:rPr>
          <w:rFonts w:cs="Times New Roman"/>
          <w:b/>
          <w:sz w:val="32"/>
          <w:szCs w:val="24"/>
          <w:lang w:val="pl-PL"/>
        </w:rPr>
      </w:pPr>
      <w:r w:rsidRPr="00AE4732">
        <w:rPr>
          <w:rFonts w:cs="Times New Roman"/>
          <w:b/>
          <w:sz w:val="32"/>
          <w:szCs w:val="24"/>
          <w:lang w:val="pl-PL"/>
        </w:rPr>
        <w:t>Tytoń zagraża nam wszystkim</w:t>
      </w:r>
    </w:p>
    <w:p w14:paraId="4EE3B0F3" w14:textId="77777777" w:rsidR="00AE4732" w:rsidRDefault="00AE4732" w:rsidP="00AE4732">
      <w:pPr>
        <w:spacing w:line="240" w:lineRule="auto"/>
        <w:jc w:val="center"/>
        <w:rPr>
          <w:rFonts w:cs="Times New Roman"/>
          <w:b/>
          <w:sz w:val="32"/>
          <w:szCs w:val="24"/>
          <w:lang w:val="pl-PL"/>
        </w:rPr>
      </w:pPr>
    </w:p>
    <w:p w14:paraId="5A1F7FB7" w14:textId="58F51615" w:rsidR="00AE4732" w:rsidRPr="00AE4732" w:rsidRDefault="00AE4732" w:rsidP="00AE4732">
      <w:pPr>
        <w:spacing w:line="240" w:lineRule="auto"/>
        <w:jc w:val="center"/>
        <w:rPr>
          <w:rFonts w:cs="Times New Roman"/>
          <w:b/>
          <w:sz w:val="32"/>
          <w:szCs w:val="24"/>
          <w:lang w:val="pl-PL"/>
        </w:rPr>
      </w:pPr>
      <w:r w:rsidRPr="00AE4732">
        <w:rPr>
          <w:rFonts w:cs="Times New Roman"/>
          <w:b/>
          <w:sz w:val="32"/>
          <w:szCs w:val="24"/>
          <w:lang w:val="pl-PL"/>
        </w:rPr>
        <w:t xml:space="preserve">Tytoń </w:t>
      </w:r>
      <w:r w:rsidR="003B6BCD">
        <w:rPr>
          <w:rFonts w:cs="Times New Roman"/>
          <w:b/>
          <w:sz w:val="32"/>
          <w:szCs w:val="24"/>
          <w:lang w:val="pl-PL"/>
        </w:rPr>
        <w:t xml:space="preserve">- </w:t>
      </w:r>
      <w:r w:rsidRPr="00AE4732">
        <w:rPr>
          <w:rFonts w:cs="Times New Roman"/>
          <w:b/>
          <w:sz w:val="32"/>
          <w:szCs w:val="24"/>
          <w:lang w:val="pl-PL"/>
        </w:rPr>
        <w:t>zagrożenie dla rozwoju.</w:t>
      </w:r>
    </w:p>
    <w:p w14:paraId="168B202B" w14:textId="77777777" w:rsidR="004E5B3E" w:rsidRPr="00AE4732" w:rsidRDefault="004E5B3E" w:rsidP="009F1D03">
      <w:pPr>
        <w:spacing w:line="240" w:lineRule="auto"/>
        <w:jc w:val="left"/>
        <w:rPr>
          <w:rFonts w:cs="Times New Roman"/>
          <w:sz w:val="22"/>
          <w:lang w:val="pl-PL"/>
        </w:rPr>
      </w:pPr>
    </w:p>
    <w:p w14:paraId="3B05D15F" w14:textId="46F8B94F" w:rsidR="008B36CF" w:rsidRPr="008B36CF" w:rsidRDefault="00B10E07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Najnowsze </w:t>
      </w:r>
      <w:r w:rsidR="008B36CF" w:rsidRPr="008B36C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prognozy Światowej Organizacji Zdrowia (WHO) wskazują, że </w:t>
      </w:r>
      <w:r w:rsidR="008B36C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wdrożenie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pakietu </w:t>
      </w:r>
      <w:r w:rsidR="008B36C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polityk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zdecydowanie </w:t>
      </w:r>
      <w:r w:rsidR="008B36C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ograniczających użycie tytoniu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- </w:t>
      </w:r>
      <w:r w:rsidR="008B36CF">
        <w:rPr>
          <w:rFonts w:ascii="Arial" w:hAnsi="Arial" w:cs="Arial"/>
          <w:color w:val="333333"/>
          <w:sz w:val="22"/>
          <w:shd w:val="clear" w:color="auto" w:fill="FFFFFF"/>
          <w:lang w:val="pl-PL"/>
        </w:rPr>
        <w:t>zgodnie z postanowieniami Ramowej Konwencji Światowej Organizacji Zdrowi</w:t>
      </w:r>
      <w:r w:rsidR="001226C7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a o Ograniczaniu Użycia Tytoniu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(Ramowej Konwencji WHO)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- </w:t>
      </w:r>
      <w:r w:rsidR="008B36C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przyniesie państwom członkowskim Europejskiego Regionu WHO znaczące korzyści zdrowotne zarówno w perspektywie krótkoterminowej, jak i długoterminowej. </w:t>
      </w:r>
    </w:p>
    <w:p w14:paraId="3C9EADF7" w14:textId="77777777" w:rsidR="008B36CF" w:rsidRPr="008B36CF" w:rsidRDefault="008B36CF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00A4F0DA" w14:textId="3BF6624A" w:rsidR="00B95904" w:rsidRPr="001226C7" w:rsidRDefault="001226C7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R</w:t>
      </w:r>
      <w:r w:rsidRPr="001226C7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ozpowszechnienie palenia tytoniu wśród dorosłych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 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Polsce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w 201</w:t>
      </w:r>
      <w:r w:rsidR="004E5B3E">
        <w:rPr>
          <w:rFonts w:ascii="Arial" w:hAnsi="Arial" w:cs="Arial"/>
          <w:color w:val="333333"/>
          <w:sz w:val="22"/>
          <w:shd w:val="clear" w:color="auto" w:fill="FFFFFF"/>
          <w:lang w:val="pl-PL"/>
        </w:rPr>
        <w:t>3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r. wynosiło </w:t>
      </w:r>
      <w:r w:rsidR="004E5B3E">
        <w:rPr>
          <w:rFonts w:ascii="Arial" w:hAnsi="Arial" w:cs="Arial"/>
          <w:color w:val="333333"/>
          <w:sz w:val="22"/>
          <w:shd w:val="clear" w:color="auto" w:fill="FFFFFF"/>
          <w:lang w:val="pl-PL"/>
        </w:rPr>
        <w:t>29,4</w:t>
      </w:r>
      <w:r w:rsidRPr="001226C7">
        <w:rPr>
          <w:rFonts w:ascii="Arial" w:hAnsi="Arial" w:cs="Arial"/>
          <w:color w:val="333333"/>
          <w:sz w:val="22"/>
          <w:shd w:val="clear" w:color="auto" w:fill="FFFFFF"/>
          <w:lang w:val="pl-PL"/>
        </w:rPr>
        <w:t>%</w:t>
      </w:r>
      <w:r w:rsidR="004E5B3E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w tym 25,2% kobiet i 34% mężczyzn.  </w:t>
      </w:r>
    </w:p>
    <w:p w14:paraId="0F9373A6" w14:textId="77777777" w:rsidR="00B95904" w:rsidRDefault="00B95904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4A8C4991" w14:textId="767FCEC3" w:rsidR="00AE4732" w:rsidRP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0"/>
          <w:lang w:val="pl-PL"/>
        </w:rPr>
      </w:pPr>
      <w:r>
        <w:rPr>
          <w:rFonts w:ascii="Arial" w:hAnsi="Arial" w:cs="Arial"/>
          <w:color w:val="333333"/>
          <w:sz w:val="22"/>
          <w:szCs w:val="20"/>
          <w:lang w:val="pl-PL"/>
        </w:rPr>
        <w:t>Na świecie, k</w:t>
      </w:r>
      <w:r w:rsidRPr="00AE4732">
        <w:rPr>
          <w:rFonts w:ascii="Arial" w:hAnsi="Arial" w:cs="Arial"/>
          <w:color w:val="333333"/>
          <w:sz w:val="22"/>
          <w:szCs w:val="20"/>
          <w:lang w:val="pl-PL"/>
        </w:rPr>
        <w:t xml:space="preserve">ażdego roku ponad 7 milionów ludzi umiera z powodu palenia tytoniu. Jeśli nie podejmiemy intensywnych działań to liczba ta może wzrosnąć do roku 2030 powyżej 8 milionów. Używanie tytoniu jest groźne dla każdego, niezależnie od płci, wieku, rasy, pochodzenia kulturowego czy edukacji. Przynosi cierpienie, chorobę i śmierć, zubożenie zarówno rodzin i gospodarek narodowych. </w:t>
      </w:r>
    </w:p>
    <w:p w14:paraId="13AE8086" w14:textId="01FDEB87" w:rsidR="00431273" w:rsidRDefault="00431273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791C2812" w14:textId="4253B058" w:rsidR="00101470" w:rsidRPr="00101470" w:rsidRDefault="0048742E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„Ograniczanie użycia tytoniu stanowi jeden z najskuteczniejszych sposobów zmniejszenia o jedną trzecią 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do 2030 r. liczby przedwczesnych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zgonów z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powodu chorób niezakaźnych w ska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li całego świata, co jest zgodn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e z Agendą Zrównoważonego Rozwoju 2030”, stwierdziła dr. </w:t>
      </w:r>
      <w:r w:rsidR="006D6F8F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Dr</w:t>
      </w:r>
      <w:r w:rsidR="001F6B1A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 </w:t>
      </w:r>
      <w:proofErr w:type="spellStart"/>
      <w:r w:rsidR="006D6F8F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Zsuzsanna</w:t>
      </w:r>
      <w:proofErr w:type="spellEnd"/>
      <w:r w:rsidR="006D6F8F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  <w:proofErr w:type="spellStart"/>
      <w:r w:rsidR="006D6F8F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Jakab</w:t>
      </w:r>
      <w:proofErr w:type="spellEnd"/>
      <w:r w:rsidR="006D6F8F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, </w:t>
      </w:r>
      <w:r w:rsidR="00101470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Dyrektor Regionalny </w:t>
      </w:r>
      <w:r w:rsidR="006D6F8F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WHO </w:t>
      </w:r>
      <w:r w:rsidR="00101470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na Europę. 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„</w:t>
      </w:r>
      <w:r w:rsidR="00101470" w:rsidRP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Prognozy opracowane na podstawie mo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delu ograniczania użycia tytoniu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stanowią 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>narzędz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ie do wykorzystania przez 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decydentów politycznych, specjalistów z zakresu zdrowia publicznego i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innych zainteresowanych</w:t>
      </w:r>
      <w:r w:rsidR="00445F66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. </w:t>
      </w:r>
      <w:r w:rsidR="007F0734">
        <w:rPr>
          <w:rFonts w:ascii="Arial" w:hAnsi="Arial" w:cs="Arial"/>
          <w:color w:val="333333"/>
          <w:sz w:val="22"/>
          <w:shd w:val="clear" w:color="auto" w:fill="FFFFFF"/>
          <w:lang w:val="pl-PL"/>
        </w:rPr>
        <w:t>P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ozwalają ocenić, które z projektowanych rozwiązań przyniosą największe efekty, </w:t>
      </w:r>
      <w:r w:rsidR="007F0734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jak również </w:t>
      </w:r>
      <w:r w:rsidR="00445F66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dostarczają </w:t>
      </w:r>
      <w:r w:rsidR="0010147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przekonujących argumentów za ich przyjęciem.” </w:t>
      </w:r>
    </w:p>
    <w:p w14:paraId="7CBE5ED6" w14:textId="77777777" w:rsidR="00101470" w:rsidRPr="00101470" w:rsidRDefault="00101470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3C54E66C" w14:textId="213AD09B" w:rsidR="00101470" w:rsidRDefault="00445F66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Odpowiednie </w:t>
      </w:r>
      <w:r w:rsidR="00101470" w:rsidRPr="0010147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>interw</w:t>
      </w:r>
      <w:r w:rsidR="0010147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>e</w:t>
      </w:r>
      <w:r w:rsidR="00101470" w:rsidRPr="0010147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ncje z zakresu ograniczania użycia tytoniu </w:t>
      </w:r>
      <w:r w:rsidR="0010147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mogą </w:t>
      </w:r>
      <w:r w:rsidR="00101470" w:rsidRPr="0010147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przyczynić się do </w:t>
      </w:r>
      <w:r w:rsidR="0010147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>znacznego zmniejszenia rozpowszechnienia palenia</w:t>
      </w:r>
      <w:r w:rsidR="004E5B3E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. Są to </w:t>
      </w:r>
      <w:r w:rsidR="003E7BC9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>przede</w:t>
      </w:r>
      <w:r w:rsidR="004E5B3E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 wszystkim: </w:t>
      </w:r>
    </w:p>
    <w:p w14:paraId="10190C80" w14:textId="77777777" w:rsidR="004B15E4" w:rsidRPr="00101470" w:rsidRDefault="004B15E4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7FDA9DE7" w14:textId="77777777" w:rsidR="007B1651" w:rsidRDefault="007B1651" w:rsidP="003E7BC9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proofErr w:type="gramStart"/>
      <w:r w:rsidRPr="007B165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ochrona</w:t>
      </w:r>
      <w:proofErr w:type="gramEnd"/>
      <w:r w:rsidRPr="007B165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przed wtórnym dymem tytoniowym poprzez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wprowadzenie bardziej rygorystycznych przepisów o zakazie palenia;</w:t>
      </w:r>
    </w:p>
    <w:p w14:paraId="6A586E42" w14:textId="48016403" w:rsidR="007B1651" w:rsidRDefault="007B1651" w:rsidP="003E7BC9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proofErr w:type="gramStart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zwiększenie</w:t>
      </w:r>
      <w:proofErr w:type="gramEnd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dostępu do świadczeń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z zakresu </w:t>
      </w:r>
      <w:r w:rsidR="00E938EB">
        <w:rPr>
          <w:rFonts w:ascii="Arial" w:hAnsi="Arial" w:cs="Arial"/>
          <w:color w:val="333333"/>
          <w:sz w:val="22"/>
          <w:shd w:val="clear" w:color="auto" w:fill="FFFFFF"/>
          <w:lang w:val="pl-PL"/>
        </w:rPr>
        <w:t>zaprzestania palenia;</w:t>
      </w:r>
    </w:p>
    <w:p w14:paraId="3904E552" w14:textId="03908379" w:rsidR="00E938EB" w:rsidRDefault="00E938EB" w:rsidP="003E7BC9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proofErr w:type="gramStart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umieszczanie</w:t>
      </w:r>
      <w:proofErr w:type="gramEnd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ostrzeżeń na opakowaniach papierosów i prowadzenie innych programów medialno-edukacyjnych;</w:t>
      </w:r>
    </w:p>
    <w:p w14:paraId="5A105C3F" w14:textId="23B8E5DD" w:rsidR="00E938EB" w:rsidRDefault="00E938EB" w:rsidP="003E7BC9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proofErr w:type="gramStart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egzekwowanie</w:t>
      </w:r>
      <w:proofErr w:type="gramEnd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zakazu reklamy, promocji i sponsoringu; oraz</w:t>
      </w:r>
    </w:p>
    <w:p w14:paraId="075723A8" w14:textId="2D10B482" w:rsidR="00E938EB" w:rsidRDefault="00705671" w:rsidP="003E7BC9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proofErr w:type="gramStart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zwiększenie</w:t>
      </w:r>
      <w:proofErr w:type="gramEnd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  <w:r w:rsidR="00E938EB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cen papierosów poprzez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podniesienie opodatkowania </w:t>
      </w:r>
      <w:r w:rsidR="00E938EB">
        <w:rPr>
          <w:rFonts w:ascii="Arial" w:hAnsi="Arial" w:cs="Arial"/>
          <w:color w:val="333333"/>
          <w:sz w:val="22"/>
          <w:shd w:val="clear" w:color="auto" w:fill="FFFFFF"/>
          <w:lang w:val="pl-PL"/>
        </w:rPr>
        <w:t>wyrobów tytoniowych</w:t>
      </w:r>
    </w:p>
    <w:p w14:paraId="093F8E41" w14:textId="5CC61BA3" w:rsidR="00E938EB" w:rsidRPr="00705671" w:rsidRDefault="00E938EB" w:rsidP="003E7BC9">
      <w:pPr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28533D9A" w14:textId="77777777" w:rsidR="00517951" w:rsidRDefault="00517951" w:rsidP="003E7BC9">
      <w:pPr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</w:pPr>
    </w:p>
    <w:p w14:paraId="70F16004" w14:textId="3F4A4C8C" w:rsidR="00B22A30" w:rsidRDefault="00B22A30" w:rsidP="003E7BC9">
      <w:pPr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</w:pPr>
      <w:r w:rsidRPr="00B22A3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lastRenderedPageBreak/>
        <w:t>Konieczne jest podjęcie bardziej zdecydowanych działań</w:t>
      </w:r>
      <w:r w:rsidR="004E5B3E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 ograniczających użycie tytoniu. </w:t>
      </w:r>
    </w:p>
    <w:p w14:paraId="1C6EFEA9" w14:textId="77777777" w:rsidR="00517951" w:rsidRPr="004E5B3E" w:rsidRDefault="00517951" w:rsidP="003E7BC9">
      <w:pPr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</w:pPr>
    </w:p>
    <w:p w14:paraId="3EB082D0" w14:textId="39336D88" w:rsidR="00B22A30" w:rsidRPr="00B22A30" w:rsidRDefault="00B22A30" w:rsidP="00517951">
      <w:pPr>
        <w:ind w:right="333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 w:rsidRPr="00B22A3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Wzmocnienie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prowadzonej w 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Polsce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  <w:r w:rsidRPr="00B22A3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polityki ograniczania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użycia tytoniu przyczyni się do osiągnięcia </w:t>
      </w:r>
      <w:bookmarkStart w:id="0" w:name="_GoBack"/>
      <w:bookmarkEnd w:id="0"/>
      <w:r w:rsidR="004E5B3E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większej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ochrony ludności przed szkodliwymi skutkami zdrowotnymi palenia. </w:t>
      </w:r>
    </w:p>
    <w:p w14:paraId="150D35E4" w14:textId="77777777" w:rsidR="00B22A30" w:rsidRPr="00705671" w:rsidRDefault="00B22A30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</w:pPr>
    </w:p>
    <w:p w14:paraId="4176046A" w14:textId="48A5B120" w:rsidR="00411F00" w:rsidRPr="00B22A30" w:rsidRDefault="00B22A30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</w:pPr>
      <w:r w:rsidRPr="00B22A3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Światowy Dzień bez Papierosa </w:t>
      </w:r>
      <w:r w:rsidR="00411F00" w:rsidRPr="00B22A3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>2017</w:t>
      </w:r>
      <w:r w:rsidRPr="00B22A30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 xml:space="preserve"> – działania na rzecz ograniczania użycia tytoni</w:t>
      </w:r>
      <w:r w:rsidR="003E7BC9">
        <w:rPr>
          <w:rFonts w:ascii="Arial" w:hAnsi="Arial" w:cs="Arial"/>
          <w:b/>
          <w:bCs/>
          <w:color w:val="333333"/>
          <w:sz w:val="22"/>
          <w:shd w:val="clear" w:color="auto" w:fill="FFFFFF"/>
          <w:lang w:val="pl-PL"/>
        </w:rPr>
        <w:t>u wspierają zrównoważony rozwój.</w:t>
      </w:r>
    </w:p>
    <w:p w14:paraId="793AB7AC" w14:textId="555B6015" w:rsidR="00B22A30" w:rsidRDefault="00B22A30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 w:rsidRPr="00B22A3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31 maja 2017 </w:t>
      </w:r>
      <w:proofErr w:type="gramStart"/>
      <w:r w:rsidRPr="00B22A3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r.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czyli</w:t>
      </w:r>
      <w:proofErr w:type="gramEnd"/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w</w:t>
      </w:r>
      <w:r w:rsidRPr="00B22A3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Światowym Dniu bez Papierosa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, WHO wzywa państwa do </w:t>
      </w:r>
      <w:r w:rsidR="00F3688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nadania działaniom na rzecz zmniejszenia użycia tytoniu statusu priorytetowego i przyspieszenia ich </w:t>
      </w:r>
      <w:r w:rsidR="005A7E1C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wdrażania </w:t>
      </w:r>
      <w:r w:rsidR="00F3688F">
        <w:rPr>
          <w:rFonts w:ascii="Arial" w:hAnsi="Arial" w:cs="Arial"/>
          <w:color w:val="333333"/>
          <w:sz w:val="22"/>
          <w:shd w:val="clear" w:color="auto" w:fill="FFFFFF"/>
          <w:lang w:val="pl-PL"/>
        </w:rPr>
        <w:t>w ramach realizacji Agendy Zrównoważonego Rozwoju 2030, a w szczególności Celu Zrównoważonego Rozwoju 3.4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,</w:t>
      </w:r>
      <w:r w:rsidR="00F3688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  <w:proofErr w:type="gramStart"/>
      <w:r w:rsidR="00F3688F">
        <w:rPr>
          <w:rFonts w:ascii="Arial" w:hAnsi="Arial" w:cs="Arial"/>
          <w:color w:val="333333"/>
          <w:sz w:val="22"/>
          <w:shd w:val="clear" w:color="auto" w:fill="FFFFFF"/>
          <w:lang w:val="pl-PL"/>
        </w:rPr>
        <w:t>dotyczącego</w:t>
      </w:r>
      <w:proofErr w:type="gramEnd"/>
      <w:r w:rsidR="00F3688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zmniejszenia przedwczesnej umieralności z powodu chorób niezakaźnych. </w:t>
      </w:r>
    </w:p>
    <w:p w14:paraId="3AB9C819" w14:textId="5BA23792" w:rsidR="00B22A30" w:rsidRPr="00B22A30" w:rsidRDefault="00B22A30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 w:rsidRPr="00B22A30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</w:p>
    <w:p w14:paraId="2472B20E" w14:textId="58BE3034" w:rsidR="008F4EB9" w:rsidRDefault="008F4EB9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 w:rsidRPr="008F4EB9">
        <w:rPr>
          <w:rFonts w:ascii="Arial" w:hAnsi="Arial" w:cs="Arial"/>
          <w:color w:val="333333"/>
          <w:sz w:val="22"/>
          <w:shd w:val="clear" w:color="auto" w:fill="FFFFFF"/>
          <w:lang w:val="pl-PL"/>
        </w:rPr>
        <w:t>Wszystkie państwa odnoszą korzyści z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wprowadzenia skutecznych rozwią</w:t>
      </w:r>
      <w:r w:rsidRPr="008F4EB9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zań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ograniczających epidemię palenia tytoniu przede wszystkim poprzez ochronę własnych obywateli przed szkodami spowodowanymi używaniem tytoniu oraz zmniejszenie związanych z tym obciążeń ekonomiczn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ych ponoszonych przez gospodarkę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. </w:t>
      </w:r>
      <w:r w:rsidR="005A7E1C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Podstawowym założeniem 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>Agend</w:t>
      </w:r>
      <w:r w:rsid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>y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Zrównoważonego Rozwoju i 17 globalnych celów jest </w:t>
      </w:r>
      <w:r w:rsidR="004B15E4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zadbanie o to,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aby „nik</w:t>
      </w:r>
      <w:r w:rsidR="004B15E4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t </w:t>
      </w:r>
      <w:r w:rsidR="00705671">
        <w:rPr>
          <w:rFonts w:ascii="Arial" w:hAnsi="Arial" w:cs="Arial"/>
          <w:color w:val="333333"/>
          <w:sz w:val="22"/>
          <w:shd w:val="clear" w:color="auto" w:fill="FFFFFF"/>
          <w:lang w:val="pl-PL"/>
        </w:rPr>
        <w:t>nie zosta</w:t>
      </w:r>
      <w:r w:rsidR="004B15E4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ł </w:t>
      </w:r>
      <w:r w:rsidR="007F0734">
        <w:rPr>
          <w:rFonts w:ascii="Arial" w:hAnsi="Arial" w:cs="Arial"/>
          <w:color w:val="333333"/>
          <w:sz w:val="22"/>
          <w:shd w:val="clear" w:color="auto" w:fill="FFFFFF"/>
          <w:lang w:val="pl-PL"/>
        </w:rPr>
        <w:t>w tyle za innymi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”. </w:t>
      </w:r>
      <w:r w:rsid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Cel 3.A zobowiązuje państwa </w:t>
      </w:r>
      <w:r w:rsidR="007F0734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członkowskie WHO do bardziej zdecydowanego wdrożenia postanowień </w:t>
      </w:r>
      <w:r w:rsid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Ramowej Konwencji WHO w ramach działań </w:t>
      </w:r>
      <w:r w:rsidR="007F0734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zmierzających do realizacji nadrzędnych celów wskazanych w Agendzie. </w:t>
      </w:r>
    </w:p>
    <w:p w14:paraId="0C3A195F" w14:textId="78C008D6" w:rsidR="00EF0B3F" w:rsidRDefault="00EF0B3F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6E8C1F74" w14:textId="72941C0A" w:rsid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4"/>
          <w:lang w:val="pl-PL"/>
        </w:rPr>
      </w:pP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Koszt </w:t>
      </w:r>
      <w:r>
        <w:rPr>
          <w:rFonts w:ascii="Arial" w:hAnsi="Arial" w:cs="Arial"/>
          <w:color w:val="333333"/>
          <w:sz w:val="22"/>
          <w:szCs w:val="24"/>
          <w:lang w:val="pl-PL"/>
        </w:rPr>
        <w:t>u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>żywania tytoniu dla gospodarek krajów jest ogromny</w:t>
      </w:r>
      <w:r>
        <w:rPr>
          <w:rFonts w:ascii="Arial" w:hAnsi="Arial" w:cs="Arial"/>
          <w:color w:val="333333"/>
          <w:sz w:val="22"/>
          <w:szCs w:val="24"/>
          <w:lang w:val="pl-PL"/>
        </w:rPr>
        <w:t>,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 między innymi poprzez wzrost kosztów opieki zdrowotnej i obniżoną produktywność. Zwiększa nierówności w zdrowiu i ubóstwo</w:t>
      </w:r>
      <w:r>
        <w:rPr>
          <w:rFonts w:ascii="Arial" w:hAnsi="Arial" w:cs="Arial"/>
          <w:color w:val="333333"/>
          <w:sz w:val="22"/>
          <w:szCs w:val="24"/>
          <w:lang w:val="pl-PL"/>
        </w:rPr>
        <w:t>, ponieważ l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udzie biedniejsi wydają mniej na podstawowe potrzeby jak jedzenie, edukację </w:t>
      </w:r>
      <w:r>
        <w:rPr>
          <w:rFonts w:ascii="Arial" w:hAnsi="Arial" w:cs="Arial"/>
          <w:color w:val="333333"/>
          <w:sz w:val="22"/>
          <w:szCs w:val="24"/>
          <w:lang w:val="pl-PL"/>
        </w:rPr>
        <w:t>i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 zdrowie.</w:t>
      </w:r>
    </w:p>
    <w:p w14:paraId="3704B1FB" w14:textId="77777777" w:rsidR="00AE4732" w:rsidRP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4"/>
          <w:lang w:val="pl-PL"/>
        </w:rPr>
      </w:pPr>
    </w:p>
    <w:p w14:paraId="109FA858" w14:textId="77777777" w:rsid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4"/>
          <w:lang w:val="pl-PL"/>
        </w:rPr>
      </w:pP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Uprawa tytoniu wymaga zastosowania dużych ilości pestycydów i nawozów, które mogą być toksyczne i zanieczyszczać wodę. Każdego roku uprawa tytoniu zużywa 4,3 mln hektarów ziemi, co powoduje globalne wylesienie między 2% a 4%. Produkcja tytoniu wytwarza również ponad 2 miliony ton odpadów stałych. </w:t>
      </w:r>
    </w:p>
    <w:p w14:paraId="4A2CB7E2" w14:textId="77777777" w:rsidR="00AE4732" w:rsidRP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4"/>
          <w:lang w:val="pl-PL"/>
        </w:rPr>
      </w:pPr>
    </w:p>
    <w:p w14:paraId="5809ED8B" w14:textId="04D8FEE0" w:rsidR="00AE4732" w:rsidRP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4"/>
          <w:lang w:val="pl-PL"/>
        </w:rPr>
      </w:pP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Ramowa Konwencja Światowej Organizacji Zdrowia o </w:t>
      </w:r>
      <w:r w:rsidRPr="00AE4732">
        <w:rPr>
          <w:rFonts w:ascii="Arial" w:hAnsi="Arial" w:cs="Arial"/>
          <w:color w:val="222222"/>
          <w:sz w:val="22"/>
          <w:szCs w:val="24"/>
          <w:shd w:val="clear" w:color="auto" w:fill="FFFFFF"/>
          <w:lang w:val="pl-PL"/>
        </w:rPr>
        <w:t xml:space="preserve">Ograniczeniu Użycia 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tytoniu (WHO FCTC) wyznacza globalną walkę z epidemią tytoniu. WHO FCTC jest traktatem międzynarodowym obejmującym 180 stron (179 krajów i Unia Europejska). Dzisiaj ponad połowa krajów świata, reprezentująca blisko 40% światowej populacji (2,8 miliardów osób), </w:t>
      </w:r>
      <w:proofErr w:type="gramStart"/>
      <w:r w:rsidRPr="00AE4732">
        <w:rPr>
          <w:rFonts w:ascii="Arial" w:hAnsi="Arial" w:cs="Arial"/>
          <w:color w:val="333333"/>
          <w:sz w:val="22"/>
          <w:szCs w:val="24"/>
          <w:lang w:val="pl-PL"/>
        </w:rPr>
        <w:t>wdrożyła co</w:t>
      </w:r>
      <w:proofErr w:type="gramEnd"/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 najmniej jedn</w:t>
      </w:r>
      <w:r>
        <w:rPr>
          <w:rFonts w:ascii="Arial" w:hAnsi="Arial" w:cs="Arial"/>
          <w:color w:val="333333"/>
          <w:sz w:val="22"/>
          <w:szCs w:val="24"/>
          <w:lang w:val="pl-PL"/>
        </w:rPr>
        <w:t>o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 z najbardziej efektywnych pod względem kosztowych działań zwalczających użycie</w:t>
      </w:r>
      <w:r>
        <w:rPr>
          <w:rFonts w:ascii="Arial" w:hAnsi="Arial" w:cs="Arial"/>
          <w:color w:val="333333"/>
          <w:sz w:val="22"/>
          <w:szCs w:val="24"/>
          <w:lang w:val="pl-PL"/>
        </w:rPr>
        <w:t xml:space="preserve"> tytoniu</w:t>
      </w:r>
      <w:r w:rsidRPr="00AE4732">
        <w:rPr>
          <w:rFonts w:ascii="Arial" w:hAnsi="Arial" w:cs="Arial"/>
          <w:color w:val="333333"/>
          <w:sz w:val="22"/>
          <w:szCs w:val="24"/>
          <w:lang w:val="pl-PL"/>
        </w:rPr>
        <w:t xml:space="preserve">. Coraz większa liczba krajów tworzy skuteczne bariery, aby uniknąć ingerencji przemysłu tytoniowego w rządową politykę kontroli tytoniu. </w:t>
      </w:r>
    </w:p>
    <w:p w14:paraId="0FEAC278" w14:textId="77777777" w:rsidR="00AE4732" w:rsidRP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color w:val="333333"/>
          <w:sz w:val="22"/>
          <w:szCs w:val="24"/>
          <w:lang w:val="pl-PL"/>
        </w:rPr>
      </w:pPr>
    </w:p>
    <w:p w14:paraId="3C332852" w14:textId="77777777" w:rsidR="00AE4732" w:rsidRPr="00AE4732" w:rsidRDefault="00AE4732" w:rsidP="003E7BC9">
      <w:pPr>
        <w:shd w:val="clear" w:color="auto" w:fill="FFFFFF"/>
        <w:ind w:right="300"/>
        <w:textAlignment w:val="baseline"/>
        <w:rPr>
          <w:rFonts w:ascii="Arial" w:hAnsi="Arial" w:cs="Arial"/>
          <w:sz w:val="22"/>
          <w:szCs w:val="24"/>
          <w:lang w:val="pl-PL"/>
        </w:rPr>
      </w:pPr>
      <w:r w:rsidRPr="00AE4732">
        <w:rPr>
          <w:rFonts w:ascii="Arial" w:hAnsi="Arial" w:cs="Arial"/>
          <w:color w:val="333333"/>
          <w:sz w:val="22"/>
          <w:szCs w:val="24"/>
          <w:lang w:val="pl-PL"/>
        </w:rPr>
        <w:t>Poprzez zwiększenie podatków na papierosy na całym świecie o 1 USD, można uzyskać kwotę 190 miliardów dolarów i przeznaczyć ją na rozwój. Wysokie podatki od tytoniu przyczyniają się do generowania przychodów dla rządów, ograniczają zapotrzebowanie na tytoń i oferują istotny dochód na finansowanie działań rozwojowych.</w:t>
      </w:r>
    </w:p>
    <w:p w14:paraId="33DC657D" w14:textId="77777777" w:rsidR="00AE4732" w:rsidRDefault="00AE4732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55110B30" w14:textId="46AF5F06" w:rsidR="00EF0B3F" w:rsidRDefault="00EF0B3F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WHO wspiera państwa i społeczeństwa obywatelskie w zwalczaniu podejmowanych przez branż</w:t>
      </w:r>
      <w:r w:rsidR="005A7E1C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ę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tytoniową ingerencji politycznych i </w:t>
      </w:r>
      <w:r w:rsidR="005A7E1C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we 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wdrażaniu rozwiązań </w:t>
      </w:r>
      <w:r w:rsidR="005A7E1C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zdecydowanie 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ograniczających użycie 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lastRenderedPageBreak/>
        <w:t xml:space="preserve">tytoniu. Zachęca zarówno partnerów, </w:t>
      </w:r>
      <w:r w:rsidR="004B15E4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instytucje publiczne 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jak i ogół społeczeństwa do większej partycypacji w działaniach krajowych, regionalnych i globalnych zmierzających do wypracowania i wdrożenia strategii, </w:t>
      </w:r>
      <w:r w:rsidR="007F0734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nadających </w:t>
      </w:r>
      <w:r w:rsidR="005A7E1C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tego typu inicj</w:t>
      </w:r>
      <w:r w:rsidR="007F0734"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atywom priorytetowy status</w:t>
      </w:r>
      <w:r w:rsidRPr="00AE4732">
        <w:rPr>
          <w:rFonts w:ascii="Arial" w:hAnsi="Arial" w:cs="Arial"/>
          <w:color w:val="333333"/>
          <w:sz w:val="22"/>
          <w:shd w:val="clear" w:color="auto" w:fill="FFFFFF"/>
          <w:lang w:val="pl-PL"/>
        </w:rPr>
        <w:t>.</w:t>
      </w:r>
      <w:r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</w:p>
    <w:p w14:paraId="4EE94D81" w14:textId="77777777" w:rsidR="00EF0B3F" w:rsidRPr="00EF0B3F" w:rsidRDefault="00EF0B3F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1284E6A4" w14:textId="77777777" w:rsidR="00CD3DE1" w:rsidRPr="004B15E4" w:rsidRDefault="00CD3DE1" w:rsidP="003E7BC9">
      <w:pPr>
        <w:pStyle w:val="NormalWeb"/>
        <w:shd w:val="clear" w:color="auto" w:fill="FFFFFF"/>
        <w:spacing w:before="0" w:beforeAutospacing="0" w:after="0" w:afterAutospacing="0" w:line="276" w:lineRule="auto"/>
        <w:ind w:right="300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1E1CE8B3" w14:textId="1040E995" w:rsidR="00CD3DE1" w:rsidRPr="00EF0B3F" w:rsidRDefault="00ED6782" w:rsidP="003E7BC9">
      <w:pPr>
        <w:pStyle w:val="NormalWeb"/>
        <w:shd w:val="clear" w:color="auto" w:fill="FFFFFF"/>
        <w:spacing w:before="0" w:beforeAutospacing="0" w:after="120" w:afterAutospacing="0" w:line="276" w:lineRule="auto"/>
        <w:ind w:right="301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hyperlink r:id="rId10" w:history="1">
        <w:r w:rsidR="00CD3DE1" w:rsidRPr="00EF0B3F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World No Tobacco Day</w:t>
        </w:r>
      </w:hyperlink>
      <w:r w:rsidR="00CD3DE1" w:rsidRP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  <w:r w:rsidR="00EF0B3F" w:rsidRP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/ Światowy Dzień bez Papierosa </w:t>
      </w:r>
    </w:p>
    <w:p w14:paraId="58C7222C" w14:textId="06C8A880" w:rsidR="00CD3DE1" w:rsidRPr="00EF0B3F" w:rsidRDefault="00ED6782" w:rsidP="003E7BC9">
      <w:pPr>
        <w:pStyle w:val="NormalWeb"/>
        <w:shd w:val="clear" w:color="auto" w:fill="FFFFFF"/>
        <w:spacing w:before="0" w:beforeAutospacing="0" w:after="120" w:afterAutospacing="0" w:line="276" w:lineRule="auto"/>
        <w:ind w:right="301"/>
        <w:jc w:val="both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  <w:hyperlink r:id="rId11" w:history="1">
        <w:r w:rsidR="00CD3DE1" w:rsidRPr="00EF0B3F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WHO Framework </w:t>
        </w:r>
        <w:proofErr w:type="spellStart"/>
        <w:r w:rsidR="00CD3DE1" w:rsidRPr="00EF0B3F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Convention</w:t>
        </w:r>
        <w:proofErr w:type="spellEnd"/>
        <w:r w:rsidR="00CD3DE1" w:rsidRPr="00EF0B3F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 on Tobacco </w:t>
        </w:r>
        <w:proofErr w:type="gramStart"/>
        <w:r w:rsidR="00CD3DE1" w:rsidRPr="00EF0B3F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Control</w:t>
        </w:r>
      </w:hyperlink>
      <w:r w:rsidR="00CD3DE1" w:rsidRP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</w:t>
      </w:r>
      <w:r w:rsidR="00EF0B3F" w:rsidRP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/ Ramowa</w:t>
      </w:r>
      <w:proofErr w:type="gramEnd"/>
      <w:r w:rsidR="00EF0B3F" w:rsidRPr="00EF0B3F">
        <w:rPr>
          <w:rFonts w:ascii="Arial" w:hAnsi="Arial" w:cs="Arial"/>
          <w:color w:val="333333"/>
          <w:sz w:val="22"/>
          <w:shd w:val="clear" w:color="auto" w:fill="FFFFFF"/>
          <w:lang w:val="pl-PL"/>
        </w:rPr>
        <w:t xml:space="preserve"> Konwencja Światowej Organizacji Zdrowia o Ograniczaniu Użycia Tytoniu</w:t>
      </w:r>
    </w:p>
    <w:p w14:paraId="00EDAF95" w14:textId="21DD0495" w:rsidR="000968D4" w:rsidRPr="007F0734" w:rsidRDefault="00ED6782" w:rsidP="003E7BC9">
      <w:pPr>
        <w:pStyle w:val="NormalWeb"/>
        <w:shd w:val="clear" w:color="auto" w:fill="FFFFFF"/>
        <w:spacing w:before="0" w:beforeAutospacing="0" w:after="120" w:afterAutospacing="0" w:line="276" w:lineRule="auto"/>
        <w:ind w:right="301"/>
        <w:jc w:val="both"/>
        <w:textAlignment w:val="baseline"/>
        <w:rPr>
          <w:rFonts w:ascii="Arial" w:hAnsi="Arial" w:cs="Arial"/>
          <w:sz w:val="22"/>
          <w:shd w:val="clear" w:color="auto" w:fill="FFFFFF"/>
          <w:lang w:val="pl-PL"/>
        </w:rPr>
      </w:pPr>
      <w:hyperlink r:id="rId12" w:history="1"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Tobacco Control </w:t>
        </w:r>
        <w:proofErr w:type="spellStart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Playbook</w:t>
        </w:r>
        <w:proofErr w:type="spellEnd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: online </w:t>
        </w:r>
        <w:proofErr w:type="spellStart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tool</w:t>
        </w:r>
        <w:proofErr w:type="spellEnd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 </w:t>
        </w:r>
        <w:proofErr w:type="spellStart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exposing</w:t>
        </w:r>
        <w:proofErr w:type="spellEnd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 </w:t>
        </w:r>
        <w:proofErr w:type="spellStart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myths</w:t>
        </w:r>
        <w:proofErr w:type="spellEnd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 </w:t>
        </w:r>
        <w:proofErr w:type="spellStart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about</w:t>
        </w:r>
        <w:proofErr w:type="spellEnd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 xml:space="preserve"> </w:t>
        </w:r>
        <w:proofErr w:type="spellStart"/>
        <w:proofErr w:type="gramStart"/>
        <w:r w:rsidR="000968D4" w:rsidRPr="00B10E07">
          <w:rPr>
            <w:rStyle w:val="Hyperlink"/>
            <w:rFonts w:ascii="Arial" w:hAnsi="Arial" w:cs="Arial"/>
            <w:sz w:val="22"/>
            <w:shd w:val="clear" w:color="auto" w:fill="FFFFFF"/>
            <w:lang w:val="pl-PL"/>
          </w:rPr>
          <w:t>tobacco</w:t>
        </w:r>
        <w:proofErr w:type="spellEnd"/>
      </w:hyperlink>
      <w:r w:rsidR="007F0734">
        <w:rPr>
          <w:rStyle w:val="Hyperlink"/>
          <w:rFonts w:ascii="Arial" w:hAnsi="Arial" w:cs="Arial"/>
          <w:sz w:val="22"/>
          <w:shd w:val="clear" w:color="auto" w:fill="FFFFFF"/>
          <w:lang w:val="pl-PL"/>
        </w:rPr>
        <w:t xml:space="preserve"> </w:t>
      </w:r>
      <w:r w:rsidR="00EF0B3F" w:rsidRPr="00B10E07">
        <w:rPr>
          <w:rStyle w:val="Hyperlink"/>
          <w:rFonts w:ascii="Arial" w:hAnsi="Arial" w:cs="Arial"/>
          <w:sz w:val="22"/>
          <w:shd w:val="clear" w:color="auto" w:fill="FFFFFF"/>
          <w:lang w:val="pl-PL"/>
        </w:rPr>
        <w:t xml:space="preserve"> </w:t>
      </w:r>
      <w:r w:rsidR="00EF0B3F" w:rsidRPr="007F0734">
        <w:rPr>
          <w:rStyle w:val="Hyperlink"/>
          <w:rFonts w:ascii="Arial" w:hAnsi="Arial" w:cs="Arial"/>
          <w:color w:val="auto"/>
          <w:sz w:val="22"/>
          <w:u w:val="none"/>
          <w:shd w:val="clear" w:color="auto" w:fill="FFFFFF"/>
          <w:lang w:val="pl-PL"/>
        </w:rPr>
        <w:t>(</w:t>
      </w:r>
      <w:r w:rsidR="00B10E07" w:rsidRPr="007F0734">
        <w:rPr>
          <w:rStyle w:val="Hyperlink"/>
          <w:rFonts w:ascii="Arial" w:hAnsi="Arial" w:cs="Arial"/>
          <w:color w:val="auto"/>
          <w:sz w:val="22"/>
          <w:u w:val="none"/>
          <w:shd w:val="clear" w:color="auto" w:fill="FFFFFF"/>
          <w:lang w:val="pl-PL"/>
        </w:rPr>
        <w:t>Ograniczanie</w:t>
      </w:r>
      <w:proofErr w:type="gramEnd"/>
      <w:r w:rsidR="00B10E07" w:rsidRPr="007F0734">
        <w:rPr>
          <w:rStyle w:val="Hyperlink"/>
          <w:rFonts w:ascii="Arial" w:hAnsi="Arial" w:cs="Arial"/>
          <w:color w:val="auto"/>
          <w:sz w:val="22"/>
          <w:u w:val="none"/>
          <w:shd w:val="clear" w:color="auto" w:fill="FFFFFF"/>
          <w:lang w:val="pl-PL"/>
        </w:rPr>
        <w:t xml:space="preserve"> użycia tytoniu – narzędzie, które rozwiewające mity na temat tytoniu) </w:t>
      </w:r>
    </w:p>
    <w:p w14:paraId="721A24BE" w14:textId="77777777" w:rsidR="00CD3DE1" w:rsidRPr="00B10E07" w:rsidRDefault="00CD3DE1" w:rsidP="00C240DB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Arial" w:hAnsi="Arial" w:cs="Arial"/>
          <w:color w:val="333333"/>
          <w:sz w:val="22"/>
          <w:shd w:val="clear" w:color="auto" w:fill="FFFFFF"/>
          <w:lang w:val="pl-PL"/>
        </w:rPr>
      </w:pPr>
    </w:p>
    <w:p w14:paraId="700079F8" w14:textId="6E772D89" w:rsidR="00CD3DE1" w:rsidRDefault="007F0734" w:rsidP="00C240DB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Arial" w:hAnsi="Arial" w:cs="Arial"/>
          <w:b/>
          <w:color w:val="333333"/>
          <w:sz w:val="22"/>
          <w:u w:val="single"/>
          <w:shd w:val="clear" w:color="auto" w:fill="FFFFFF"/>
          <w:lang w:val="pl-PL"/>
        </w:rPr>
      </w:pPr>
      <w:r w:rsidRPr="003E7BC9">
        <w:rPr>
          <w:rFonts w:ascii="Arial" w:hAnsi="Arial" w:cs="Arial"/>
          <w:b/>
          <w:color w:val="333333"/>
          <w:sz w:val="22"/>
          <w:u w:val="single"/>
          <w:shd w:val="clear" w:color="auto" w:fill="FFFFFF"/>
          <w:lang w:val="pl-PL"/>
        </w:rPr>
        <w:t>Kontakt dla mediów</w:t>
      </w:r>
      <w:r w:rsidR="00EF0B3F" w:rsidRPr="003E7BC9">
        <w:rPr>
          <w:rFonts w:ascii="Arial" w:hAnsi="Arial" w:cs="Arial"/>
          <w:b/>
          <w:color w:val="333333"/>
          <w:sz w:val="22"/>
          <w:u w:val="single"/>
          <w:shd w:val="clear" w:color="auto" w:fill="FFFFFF"/>
          <w:lang w:val="pl-PL"/>
        </w:rPr>
        <w:t>:</w:t>
      </w:r>
    </w:p>
    <w:p w14:paraId="6452C64A" w14:textId="77777777" w:rsidR="003E7BC9" w:rsidRPr="003E7BC9" w:rsidRDefault="003E7BC9" w:rsidP="00C240DB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Arial" w:hAnsi="Arial" w:cs="Arial"/>
          <w:b/>
          <w:color w:val="333333"/>
          <w:sz w:val="22"/>
          <w:u w:val="single"/>
          <w:shd w:val="clear" w:color="auto" w:fill="FFFFFF"/>
          <w:lang w:val="pl-PL"/>
        </w:rPr>
      </w:pPr>
    </w:p>
    <w:p w14:paraId="47FFAE45" w14:textId="36CD5A8B" w:rsidR="003E7BC9" w:rsidRPr="003E7BC9" w:rsidRDefault="004E5B3E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</w:pPr>
      <w:r w:rsidRPr="003E7BC9"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  <w:t xml:space="preserve">Paulina Karwowska </w:t>
      </w:r>
    </w:p>
    <w:p w14:paraId="7F17594A" w14:textId="719DCCAC" w:rsidR="003E7BC9" w:rsidRPr="003E7BC9" w:rsidRDefault="003E7BC9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</w:pPr>
      <w:r w:rsidRPr="003E7BC9"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  <w:t>Dyrektor Biura WHO w Polsce</w:t>
      </w:r>
    </w:p>
    <w:p w14:paraId="3DC96112" w14:textId="67737BA0" w:rsidR="003E7BC9" w:rsidRPr="003E7BC9" w:rsidRDefault="003E7BC9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</w:pPr>
      <w:r w:rsidRPr="003E7BC9"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  <w:t>Al. Jerozolimskie 155</w:t>
      </w:r>
    </w:p>
    <w:p w14:paraId="6B81A3BD" w14:textId="188211C0" w:rsidR="003E7BC9" w:rsidRPr="003E7BC9" w:rsidRDefault="003E7BC9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</w:pPr>
      <w:r w:rsidRPr="003E7BC9"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  <w:t>02 – 326 Warszawa</w:t>
      </w:r>
    </w:p>
    <w:p w14:paraId="0C2C3F38" w14:textId="58DB5ACA" w:rsidR="003E7BC9" w:rsidRPr="003E7BC9" w:rsidRDefault="003E7BC9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</w:pPr>
      <w:r w:rsidRPr="003E7BC9"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  <w:t>Tel. 22 635 94 96</w:t>
      </w:r>
    </w:p>
    <w:p w14:paraId="4DDE010E" w14:textId="54954749" w:rsidR="003E7BC9" w:rsidRPr="003E7BC9" w:rsidRDefault="00ED6782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</w:pPr>
      <w:hyperlink r:id="rId13" w:history="1">
        <w:r w:rsidR="003E7BC9" w:rsidRPr="003E7BC9">
          <w:rPr>
            <w:rStyle w:val="Hyperlink"/>
            <w:rFonts w:ascii="Arial" w:eastAsia="Times New Roman" w:hAnsi="Arial" w:cs="Arial"/>
            <w:sz w:val="22"/>
            <w:szCs w:val="24"/>
            <w:shd w:val="clear" w:color="auto" w:fill="FFFFFF"/>
            <w:lang w:val="pl-PL"/>
          </w:rPr>
          <w:t>eurowhopol@who.int</w:t>
        </w:r>
      </w:hyperlink>
      <w:r w:rsidR="003E7BC9" w:rsidRPr="003E7BC9">
        <w:rPr>
          <w:rFonts w:ascii="Arial" w:eastAsia="Times New Roman" w:hAnsi="Arial" w:cs="Arial"/>
          <w:color w:val="333333"/>
          <w:sz w:val="22"/>
          <w:szCs w:val="24"/>
          <w:shd w:val="clear" w:color="auto" w:fill="FFFFFF"/>
          <w:lang w:val="pl-PL"/>
        </w:rPr>
        <w:t xml:space="preserve"> </w:t>
      </w:r>
    </w:p>
    <w:p w14:paraId="13B677D2" w14:textId="77777777" w:rsidR="00AE4732" w:rsidRPr="007F0734" w:rsidRDefault="00AE4732" w:rsidP="00C240DB">
      <w:pPr>
        <w:spacing w:after="200"/>
        <w:jc w:val="left"/>
        <w:rPr>
          <w:rFonts w:ascii="Arial" w:eastAsia="Times New Roman" w:hAnsi="Arial" w:cs="Arial"/>
          <w:color w:val="333333"/>
          <w:sz w:val="22"/>
          <w:szCs w:val="24"/>
          <w:highlight w:val="yellow"/>
          <w:shd w:val="clear" w:color="auto" w:fill="FFFFFF"/>
          <w:lang w:val="pl-PL"/>
        </w:rPr>
      </w:pPr>
    </w:p>
    <w:sectPr w:rsidR="00AE4732" w:rsidRPr="007F0734" w:rsidSect="003D2308">
      <w:headerReference w:type="even" r:id="rId14"/>
      <w:pgSz w:w="12240" w:h="15840"/>
      <w:pgMar w:top="709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54E3F0" w15:done="0"/>
  <w15:commentEx w15:paraId="1300E1F2" w15:done="0"/>
  <w15:commentEx w15:paraId="5D568AB5" w15:done="0"/>
  <w15:commentEx w15:paraId="7C7B35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EB13F" w14:textId="77777777" w:rsidR="00ED6782" w:rsidRDefault="00ED6782" w:rsidP="00B4752D">
      <w:pPr>
        <w:spacing w:line="240" w:lineRule="auto"/>
      </w:pPr>
      <w:r>
        <w:separator/>
      </w:r>
    </w:p>
  </w:endnote>
  <w:endnote w:type="continuationSeparator" w:id="0">
    <w:p w14:paraId="5F54A1DB" w14:textId="77777777" w:rsidR="00ED6782" w:rsidRDefault="00ED6782" w:rsidP="00B47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D91A8" w14:textId="77777777" w:rsidR="00ED6782" w:rsidRDefault="00ED6782" w:rsidP="00B4752D">
      <w:pPr>
        <w:spacing w:line="240" w:lineRule="auto"/>
      </w:pPr>
      <w:r>
        <w:separator/>
      </w:r>
    </w:p>
  </w:footnote>
  <w:footnote w:type="continuationSeparator" w:id="0">
    <w:p w14:paraId="3DCF9BBD" w14:textId="77777777" w:rsidR="00ED6782" w:rsidRDefault="00ED6782" w:rsidP="00B47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0B950" w14:textId="77777777" w:rsidR="007C53AE" w:rsidRPr="004B15E4" w:rsidRDefault="007C53AE" w:rsidP="00B4752D">
    <w:pPr>
      <w:pStyle w:val="Header"/>
      <w:rPr>
        <w:rStyle w:val="PageNumber"/>
        <w:rFonts w:ascii="Arial" w:hAnsi="Arial" w:cs="Arial"/>
        <w:sz w:val="18"/>
        <w:szCs w:val="18"/>
        <w:lang w:val="pl-PL"/>
      </w:rPr>
    </w:pPr>
  </w:p>
  <w:p w14:paraId="2661E70A" w14:textId="77777777" w:rsidR="007C53AE" w:rsidRPr="004B15E4" w:rsidRDefault="007C53AE" w:rsidP="00B4752D">
    <w:pPr>
      <w:pStyle w:val="Header"/>
      <w:rPr>
        <w:rStyle w:val="PageNumber"/>
        <w:rFonts w:ascii="Arial" w:hAnsi="Arial" w:cs="Arial"/>
        <w:sz w:val="18"/>
        <w:szCs w:val="18"/>
        <w:lang w:val="pl-PL"/>
      </w:rPr>
    </w:pPr>
  </w:p>
  <w:p w14:paraId="4641ABBE" w14:textId="77777777" w:rsidR="007C53AE" w:rsidRPr="004B15E4" w:rsidRDefault="007C53AE" w:rsidP="00B4752D">
    <w:pPr>
      <w:pStyle w:val="Header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2E30"/>
    <w:multiLevelType w:val="multilevel"/>
    <w:tmpl w:val="6B0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6AD2"/>
    <w:multiLevelType w:val="hybridMultilevel"/>
    <w:tmpl w:val="71FE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C26F1"/>
    <w:multiLevelType w:val="multilevel"/>
    <w:tmpl w:val="577A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F41FB"/>
    <w:multiLevelType w:val="hybridMultilevel"/>
    <w:tmpl w:val="83887530"/>
    <w:lvl w:ilvl="0" w:tplc="49B64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Walicka">
    <w15:presenceInfo w15:providerId="Windows Live" w15:userId="65e615bf4a0430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A6"/>
    <w:rsid w:val="00001E22"/>
    <w:rsid w:val="00003338"/>
    <w:rsid w:val="00006155"/>
    <w:rsid w:val="00027423"/>
    <w:rsid w:val="00032893"/>
    <w:rsid w:val="000446E6"/>
    <w:rsid w:val="0006069C"/>
    <w:rsid w:val="0007677C"/>
    <w:rsid w:val="000968D4"/>
    <w:rsid w:val="000B605D"/>
    <w:rsid w:val="000D1C4B"/>
    <w:rsid w:val="000E7984"/>
    <w:rsid w:val="00101470"/>
    <w:rsid w:val="00121C3A"/>
    <w:rsid w:val="00121D88"/>
    <w:rsid w:val="001226C7"/>
    <w:rsid w:val="001C519D"/>
    <w:rsid w:val="001E79EB"/>
    <w:rsid w:val="001F3DAF"/>
    <w:rsid w:val="001F56B1"/>
    <w:rsid w:val="001F6B1A"/>
    <w:rsid w:val="00221223"/>
    <w:rsid w:val="00235169"/>
    <w:rsid w:val="00237279"/>
    <w:rsid w:val="002D5B9C"/>
    <w:rsid w:val="00335505"/>
    <w:rsid w:val="003628AE"/>
    <w:rsid w:val="003631B1"/>
    <w:rsid w:val="00386210"/>
    <w:rsid w:val="003B6BCD"/>
    <w:rsid w:val="003D2308"/>
    <w:rsid w:val="003E7BC9"/>
    <w:rsid w:val="00411F00"/>
    <w:rsid w:val="00417CB9"/>
    <w:rsid w:val="004252B4"/>
    <w:rsid w:val="00431273"/>
    <w:rsid w:val="00445F66"/>
    <w:rsid w:val="00457317"/>
    <w:rsid w:val="00467628"/>
    <w:rsid w:val="0048742E"/>
    <w:rsid w:val="004B15E4"/>
    <w:rsid w:val="004B201E"/>
    <w:rsid w:val="004C7098"/>
    <w:rsid w:val="004E49DC"/>
    <w:rsid w:val="004E5B3E"/>
    <w:rsid w:val="004E756F"/>
    <w:rsid w:val="0050632C"/>
    <w:rsid w:val="00515EC6"/>
    <w:rsid w:val="00517951"/>
    <w:rsid w:val="00527CFB"/>
    <w:rsid w:val="00532625"/>
    <w:rsid w:val="00562748"/>
    <w:rsid w:val="00576B30"/>
    <w:rsid w:val="005878D7"/>
    <w:rsid w:val="005A7E1C"/>
    <w:rsid w:val="005E3EEE"/>
    <w:rsid w:val="005F7121"/>
    <w:rsid w:val="00600765"/>
    <w:rsid w:val="006019A6"/>
    <w:rsid w:val="00607054"/>
    <w:rsid w:val="006377A8"/>
    <w:rsid w:val="00696A4A"/>
    <w:rsid w:val="006A0D18"/>
    <w:rsid w:val="006B56BD"/>
    <w:rsid w:val="006D6F8F"/>
    <w:rsid w:val="006E0171"/>
    <w:rsid w:val="006E1241"/>
    <w:rsid w:val="006E2D9E"/>
    <w:rsid w:val="00705671"/>
    <w:rsid w:val="007306AD"/>
    <w:rsid w:val="007523C5"/>
    <w:rsid w:val="007A1ACC"/>
    <w:rsid w:val="007A2112"/>
    <w:rsid w:val="007B1651"/>
    <w:rsid w:val="007C53AE"/>
    <w:rsid w:val="007D57ED"/>
    <w:rsid w:val="007F0734"/>
    <w:rsid w:val="0083332F"/>
    <w:rsid w:val="00836597"/>
    <w:rsid w:val="00852F72"/>
    <w:rsid w:val="0086224C"/>
    <w:rsid w:val="00865199"/>
    <w:rsid w:val="008B2C2F"/>
    <w:rsid w:val="008B36CF"/>
    <w:rsid w:val="008C0092"/>
    <w:rsid w:val="008C135C"/>
    <w:rsid w:val="008E56D0"/>
    <w:rsid w:val="008F4EB9"/>
    <w:rsid w:val="0091602E"/>
    <w:rsid w:val="00931325"/>
    <w:rsid w:val="009553DE"/>
    <w:rsid w:val="009635F0"/>
    <w:rsid w:val="009B7415"/>
    <w:rsid w:val="009F1D03"/>
    <w:rsid w:val="00A00E49"/>
    <w:rsid w:val="00A05508"/>
    <w:rsid w:val="00A1251A"/>
    <w:rsid w:val="00A23596"/>
    <w:rsid w:val="00A34C19"/>
    <w:rsid w:val="00A400C7"/>
    <w:rsid w:val="00A616C1"/>
    <w:rsid w:val="00A617FA"/>
    <w:rsid w:val="00A71035"/>
    <w:rsid w:val="00A81DE6"/>
    <w:rsid w:val="00AE4732"/>
    <w:rsid w:val="00AF1768"/>
    <w:rsid w:val="00B01501"/>
    <w:rsid w:val="00B10E07"/>
    <w:rsid w:val="00B22A30"/>
    <w:rsid w:val="00B4752D"/>
    <w:rsid w:val="00B95904"/>
    <w:rsid w:val="00B97557"/>
    <w:rsid w:val="00BD66BE"/>
    <w:rsid w:val="00BF4635"/>
    <w:rsid w:val="00C13760"/>
    <w:rsid w:val="00C240DB"/>
    <w:rsid w:val="00C81265"/>
    <w:rsid w:val="00CD3DE1"/>
    <w:rsid w:val="00CE79FB"/>
    <w:rsid w:val="00D05C2B"/>
    <w:rsid w:val="00D15AFD"/>
    <w:rsid w:val="00D15B4C"/>
    <w:rsid w:val="00D27585"/>
    <w:rsid w:val="00D442EC"/>
    <w:rsid w:val="00D72AF8"/>
    <w:rsid w:val="00D74087"/>
    <w:rsid w:val="00D749FB"/>
    <w:rsid w:val="00DB5045"/>
    <w:rsid w:val="00E03E19"/>
    <w:rsid w:val="00E11BA8"/>
    <w:rsid w:val="00E1366B"/>
    <w:rsid w:val="00E14A13"/>
    <w:rsid w:val="00E26231"/>
    <w:rsid w:val="00E32A85"/>
    <w:rsid w:val="00E50A84"/>
    <w:rsid w:val="00E66486"/>
    <w:rsid w:val="00E92670"/>
    <w:rsid w:val="00E938EB"/>
    <w:rsid w:val="00EA2462"/>
    <w:rsid w:val="00EB3DF9"/>
    <w:rsid w:val="00EC1F1B"/>
    <w:rsid w:val="00ED6782"/>
    <w:rsid w:val="00EF0B3F"/>
    <w:rsid w:val="00EF3855"/>
    <w:rsid w:val="00F17EE7"/>
    <w:rsid w:val="00F3688F"/>
    <w:rsid w:val="00F816A6"/>
    <w:rsid w:val="00F843BA"/>
    <w:rsid w:val="00F91F82"/>
    <w:rsid w:val="00FA75E8"/>
    <w:rsid w:val="00FD2F0B"/>
    <w:rsid w:val="00FE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BD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2D"/>
    <w:pPr>
      <w:spacing w:after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52D"/>
    <w:pPr>
      <w:keepNext/>
      <w:keepLines/>
      <w:spacing w:before="480" w:after="240" w:line="240" w:lineRule="auto"/>
      <w:jc w:val="center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9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9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6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56BD"/>
    <w:pPr>
      <w:spacing w:line="240" w:lineRule="auto"/>
    </w:pPr>
    <w:rPr>
      <w:rFonts w:ascii="Arial Bold" w:eastAsiaTheme="minorHAnsi" w:hAnsi="Arial Bold"/>
      <w:b/>
      <w:color w:val="345A8A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6BD"/>
    <w:rPr>
      <w:rFonts w:ascii="Arial Bold" w:eastAsiaTheme="minorHAnsi" w:hAnsi="Arial Bold"/>
      <w:b/>
      <w:color w:val="345A8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6B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BD"/>
    <w:rPr>
      <w:rFonts w:ascii="Lucida Grande" w:hAnsi="Lucida Grande"/>
      <w:sz w:val="18"/>
      <w:szCs w:val="18"/>
    </w:rPr>
  </w:style>
  <w:style w:type="paragraph" w:customStyle="1" w:styleId="xmsonormal">
    <w:name w:val="x_msonormal"/>
    <w:basedOn w:val="Normal"/>
    <w:rsid w:val="00EA2462"/>
    <w:pPr>
      <w:spacing w:beforeLines="1" w:afterLines="1" w:line="240" w:lineRule="auto"/>
    </w:pPr>
    <w:rPr>
      <w:rFonts w:ascii="Times" w:hAnsi="Times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752D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B475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52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75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52D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B4752D"/>
  </w:style>
  <w:style w:type="paragraph" w:styleId="NormalWeb">
    <w:name w:val="Normal (Web)"/>
    <w:basedOn w:val="Normal"/>
    <w:uiPriority w:val="99"/>
    <w:unhideWhenUsed/>
    <w:rsid w:val="00D749F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9F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F91F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11F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8F"/>
    <w:rPr>
      <w:rFonts w:ascii="Times New Roman" w:eastAsiaTheme="minorEastAsia" w:hAnsi="Times New Roman"/>
      <w:bCs/>
      <w:color w:val="auto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8F"/>
    <w:rPr>
      <w:rFonts w:ascii="Times New Roman" w:eastAsiaTheme="minorHAnsi" w:hAnsi="Times New Roman"/>
      <w:b/>
      <w:bCs/>
      <w:color w:val="345A8A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1C4B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5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23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2D"/>
    <w:pPr>
      <w:spacing w:after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52D"/>
    <w:pPr>
      <w:keepNext/>
      <w:keepLines/>
      <w:spacing w:before="480" w:after="240" w:line="240" w:lineRule="auto"/>
      <w:jc w:val="center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9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9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6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56BD"/>
    <w:pPr>
      <w:spacing w:line="240" w:lineRule="auto"/>
    </w:pPr>
    <w:rPr>
      <w:rFonts w:ascii="Arial Bold" w:eastAsiaTheme="minorHAnsi" w:hAnsi="Arial Bold"/>
      <w:b/>
      <w:color w:val="345A8A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6BD"/>
    <w:rPr>
      <w:rFonts w:ascii="Arial Bold" w:eastAsiaTheme="minorHAnsi" w:hAnsi="Arial Bold"/>
      <w:b/>
      <w:color w:val="345A8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6B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BD"/>
    <w:rPr>
      <w:rFonts w:ascii="Lucida Grande" w:hAnsi="Lucida Grande"/>
      <w:sz w:val="18"/>
      <w:szCs w:val="18"/>
    </w:rPr>
  </w:style>
  <w:style w:type="paragraph" w:customStyle="1" w:styleId="xmsonormal">
    <w:name w:val="x_msonormal"/>
    <w:basedOn w:val="Normal"/>
    <w:rsid w:val="00EA2462"/>
    <w:pPr>
      <w:spacing w:beforeLines="1" w:afterLines="1" w:line="240" w:lineRule="auto"/>
    </w:pPr>
    <w:rPr>
      <w:rFonts w:ascii="Times" w:hAnsi="Times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752D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B475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52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475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52D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B4752D"/>
  </w:style>
  <w:style w:type="paragraph" w:styleId="NormalWeb">
    <w:name w:val="Normal (Web)"/>
    <w:basedOn w:val="Normal"/>
    <w:uiPriority w:val="99"/>
    <w:unhideWhenUsed/>
    <w:rsid w:val="00D749F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9F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F91F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11F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8F"/>
    <w:rPr>
      <w:rFonts w:ascii="Times New Roman" w:eastAsiaTheme="minorEastAsia" w:hAnsi="Times New Roman"/>
      <w:bCs/>
      <w:color w:val="auto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8F"/>
    <w:rPr>
      <w:rFonts w:ascii="Times New Roman" w:eastAsiaTheme="minorHAnsi" w:hAnsi="Times New Roman"/>
      <w:b/>
      <w:bCs/>
      <w:color w:val="345A8A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1C4B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5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2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urowhopol@who.in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obaccoplaybook.net/en/index.htm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ho.int/fctc/e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ro.who.int/en/media-centre/events/events/2017/05/world-no-tobacco-day-2017-tobacco-a-threat-to-developm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7686-870C-476A-B2B5-54070C49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Hedquist, Chelsea</dc:creator>
  <cp:lastModifiedBy>MIECZNIKOWSKA, Dominika</cp:lastModifiedBy>
  <cp:revision>4</cp:revision>
  <cp:lastPrinted>2017-05-25T08:09:00Z</cp:lastPrinted>
  <dcterms:created xsi:type="dcterms:W3CDTF">2017-05-25T10:34:00Z</dcterms:created>
  <dcterms:modified xsi:type="dcterms:W3CDTF">2017-05-25T11:17:00Z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251425962</vt:i4>
  </property>
  <property fmtid="{D5CDD505-2E9C-101B-9397-08002B2CF9AE}" pid="3" name="_NewReviewCycle">
    <vt:lpwstr/>
  </property>
  <property fmtid="{D5CDD505-2E9C-101B-9397-08002B2CF9AE}" pid="4" name="_EmailSubject">
    <vt:lpwstr>Światowy Dzień bez Tytoniu - wkład do komunikatu</vt:lpwstr>
  </property>
  <property fmtid="{D5CDD505-2E9C-101B-9397-08002B2CF9AE}" pid="5" name="_AuthorEmail">
    <vt:lpwstr/>
  </property>
  <property fmtid="{D5CDD505-2E9C-101B-9397-08002B2CF9AE}" pid="6" name="_AuthorEmailDisplayName">
    <vt:lpwstr>EURO WHO Office in Poland</vt:lpwstr>
  </property>
  <property fmtid="{D5CDD505-2E9C-101B-9397-08002B2CF9AE}" pid="7" name="_PreviousAdHocReviewCycleID">
    <vt:i4>-1187813102</vt:i4>
  </property>
</Properties>
</file>